
<file path=[Content_Types].xml><?xml version="1.0" encoding="utf-8"?>
<Types xmlns="http://schemas.openxmlformats.org/package/2006/content-types"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rPr>
          <w:b/>
          <w:color w:val="2F5BEA"/>
          <w:sz w:val="18"/>
        </w:rPr>
        <w:t>MODELLO  ·  BENESSERE  ·  MODULO 4</w:t>
      </w:r>
    </w:p>
    <w:p>
      <w:pPr>
        <w:pStyle w:val="Heading1"/>
      </w:pPr>
      <w:r>
        <w:t>Scheda Cassetta della calma</w:t>
      </w:r>
    </w:p>
    <w:p>
      <w:r>
        <w:t>Quando arriva un momento difficile, aiuta non dover pensare. Scrivi su questa scheda la tua cassetta della calma e tienila con te.</w:t>
      </w:r>
    </w:p>
    <w:p>
      <w:pPr>
        <w:pStyle w:val="Heading2"/>
      </w:pPr>
      <w:r>
        <w:t>Respira 4-4-6</w:t>
      </w:r>
    </w:p>
    <w:tbl>
      <w:tblPr>
        <w:tblW w:type="auto" w:w="0"/>
        <w:tblLook w:firstColumn="1" w:firstRow="1" w:lastColumn="0" w:lastRow="0" w:noHBand="0" w:noVBand="1" w:val="04A0"/>
        <w:tblBorders>
          <w:top w:val="single" w:sz="6" w:color="E2E8F0"/>
          <w:left w:val="single" w:sz="6" w:color="E2E8F0"/>
          <w:bottom w:val="single" w:sz="6" w:color="E2E8F0"/>
          <w:right w:val="single" w:sz="6" w:color="E2E8F0"/>
          <w:insideH w:val="single" w:sz="6" w:color="E2E8F0"/>
          <w:insideV w:val="single" w:sz="6" w:color="E2E8F0"/>
        </w:tblBorders>
        <w:tblCellMar>
          <w:top w:w="60" w:type="dxa"/>
          <w:bottom w:w="60" w:type="dxa"/>
          <w:left w:w="100" w:type="dxa"/>
          <w:right w:w="100" w:type="dxa"/>
        </w:tblCellMar>
      </w:tblPr>
      <w:tblGrid>
        <w:gridCol w:w="4819"/>
        <w:gridCol w:w="4819"/>
      </w:tblGrid>
      <w:tr>
        <w:tc>
          <w:tcPr>
            <w:tcW w:type="dxa" w:w="4819"/>
            <w:shd w:val="clear" w:fill="00309A"/>
          </w:tcPr>
          <w:p>
            <w:r>
              <w:rPr>
                <w:b/>
                <w:color w:val="FFFFFF"/>
              </w:rPr>
              <w:t>Passo</w:t>
            </w:r>
          </w:p>
        </w:tc>
        <w:tc>
          <w:tcPr>
            <w:tcW w:type="dxa" w:w="4819"/>
            <w:shd w:val="clear" w:fill="00309A"/>
          </w:tcPr>
          <w:p>
            <w:r>
              <w:rPr>
                <w:b/>
                <w:color w:val="FFFFFF"/>
              </w:rPr>
              <w:t>Cosa fare</w:t>
            </w:r>
          </w:p>
        </w:tc>
      </w:tr>
      <w:tr>
        <w:tc>
          <w:tcPr>
            <w:tcW w:type="dxa" w:w="4819"/>
          </w:tcPr>
          <w:p>
            <w:r>
              <w:rPr>
                <w:sz w:val="20"/>
              </w:rPr>
              <w:t>1</w:t>
            </w:r>
          </w:p>
        </w:tc>
        <w:tc>
          <w:tcPr>
            <w:tcW w:type="dxa" w:w="4819"/>
          </w:tcPr>
          <w:p>
            <w:r>
              <w:rPr>
                <w:sz w:val="20"/>
              </w:rPr>
              <w:t>Inspira dal naso per 4 secondi.</w:t>
            </w:r>
          </w:p>
        </w:tc>
      </w:tr>
      <w:tr>
        <w:tc>
          <w:tcPr>
            <w:tcW w:type="dxa" w:w="4819"/>
          </w:tcPr>
          <w:p>
            <w:r>
              <w:rPr>
                <w:sz w:val="20"/>
              </w:rPr>
              <w:t>2</w:t>
            </w:r>
          </w:p>
        </w:tc>
        <w:tc>
          <w:tcPr>
            <w:tcW w:type="dxa" w:w="4819"/>
          </w:tcPr>
          <w:p>
            <w:r>
              <w:rPr>
                <w:sz w:val="20"/>
              </w:rPr>
              <w:t>Trattieni dolcemente per 4 secondi, o salta questo passo se ti mette a disagio.</w:t>
            </w:r>
          </w:p>
        </w:tc>
      </w:tr>
      <w:tr>
        <w:tc>
          <w:tcPr>
            <w:tcW w:type="dxa" w:w="4819"/>
          </w:tcPr>
          <w:p>
            <w:r>
              <w:rPr>
                <w:sz w:val="20"/>
              </w:rPr>
              <w:t>3</w:t>
            </w:r>
          </w:p>
        </w:tc>
        <w:tc>
          <w:tcPr>
            <w:tcW w:type="dxa" w:w="4819"/>
          </w:tcPr>
          <w:p>
            <w:r>
              <w:rPr>
                <w:sz w:val="20"/>
              </w:rPr>
              <w:t>Espira piano per 6 secondi.</w:t>
            </w:r>
          </w:p>
        </w:tc>
      </w:tr>
      <w:tr>
        <w:tc>
          <w:tcPr>
            <w:tcW w:type="dxa" w:w="4819"/>
          </w:tcPr>
          <w:p>
            <w:r>
              <w:rPr>
                <w:sz w:val="20"/>
              </w:rPr>
              <w:t>4</w:t>
            </w:r>
          </w:p>
        </w:tc>
        <w:tc>
          <w:tcPr>
            <w:tcW w:type="dxa" w:w="4819"/>
          </w:tcPr>
          <w:p>
            <w:r>
              <w:rPr>
                <w:sz w:val="20"/>
              </w:rPr>
              <w:t>Ripeti cinque volte. Nota come si sente il tuo corpo.</w:t>
            </w:r>
          </w:p>
        </w:tc>
      </w:tr>
    </w:tbl>
    <w:p/>
    <w:p>
      <w:pPr>
        <w:pStyle w:val="Heading2"/>
      </w:pPr>
      <w:r>
        <w:t>Radicamento 5-4-3-2-1</w:t>
      </w:r>
    </w:p>
    <w:p>
      <w:pPr>
        <w:pStyle w:val="ListBullet"/>
      </w:pPr>
      <w:r>
        <w:t>5 cose che vedi</w:t>
      </w:r>
    </w:p>
    <w:p>
      <w:pPr>
        <w:pStyle w:val="ListBullet"/>
      </w:pPr>
      <w:r>
        <w:t>4 cose che puoi toccare</w:t>
      </w:r>
    </w:p>
    <w:p>
      <w:pPr>
        <w:pStyle w:val="ListBullet"/>
      </w:pPr>
      <w:r>
        <w:t>3 cose che senti</w:t>
      </w:r>
    </w:p>
    <w:p>
      <w:pPr>
        <w:pStyle w:val="ListBullet"/>
      </w:pPr>
      <w:r>
        <w:t>2 odori che senti</w:t>
      </w:r>
    </w:p>
    <w:p>
      <w:pPr>
        <w:pStyle w:val="ListBullet"/>
      </w:pPr>
      <w:r>
        <w:t>1 sapore che senti, o una cosa gentile su di te</w:t>
      </w:r>
    </w:p>
    <w:p>
      <w:pPr>
        <w:pStyle w:val="Heading2"/>
      </w:pPr>
      <w:r>
        <w:t>La mia scheda della calma</w:t>
      </w:r>
    </w:p>
    <w:tbl>
      <w:tblPr>
        <w:tblW w:type="auto" w:w="0"/>
        <w:tblLook w:firstColumn="1" w:firstRow="1" w:lastColumn="0" w:lastRow="0" w:noHBand="0" w:noVBand="1" w:val="04A0"/>
        <w:tblBorders>
          <w:top w:val="single" w:sz="6" w:color="E2E8F0"/>
          <w:left w:val="single" w:sz="6" w:color="E2E8F0"/>
          <w:bottom w:val="single" w:sz="6" w:color="E2E8F0"/>
          <w:right w:val="single" w:sz="6" w:color="E2E8F0"/>
          <w:insideH w:val="single" w:sz="6" w:color="E2E8F0"/>
          <w:insideV w:val="single" w:sz="6" w:color="E2E8F0"/>
        </w:tblBorders>
        <w:tblCellMar>
          <w:top w:w="60" w:type="dxa"/>
          <w:bottom w:w="60" w:type="dxa"/>
          <w:left w:w="100" w:type="dxa"/>
          <w:right w:w="100" w:type="dxa"/>
        </w:tblCellMar>
      </w:tblPr>
      <w:tblGrid>
        <w:gridCol w:w="4819"/>
        <w:gridCol w:w="4819"/>
      </w:tblGrid>
      <w:tr>
        <w:tc>
          <w:tcPr>
            <w:tcW w:type="dxa" w:w="3118"/>
            <w:shd w:val="clear" w:fill="EEF3FF"/>
          </w:tcPr>
          <w:p>
            <w:r>
              <w:rPr>
                <w:b/>
              </w:rPr>
              <w:t>Tre cose che mi aiutano a sentirmi più calma</w:t>
            </w:r>
          </w:p>
        </w:tc>
        <w:tc>
          <w:tcPr>
            <w:tcW w:type="dxa" w:w="6520"/>
          </w:tcPr>
          <w:p>
            <w:r>
              <w:t xml:space="preserve"> </w:t>
            </w:r>
          </w:p>
        </w:tc>
      </w:tr>
      <w:tr>
        <w:tc>
          <w:tcPr>
            <w:tcW w:type="dxa" w:w="3118"/>
            <w:shd w:val="clear" w:fill="EEF3FF"/>
          </w:tcPr>
          <w:p>
            <w:r>
              <w:rPr>
                <w:b/>
              </w:rPr>
              <w:t>Una persona a cui posso rivolgermi</w:t>
            </w:r>
          </w:p>
        </w:tc>
        <w:tc>
          <w:tcPr>
            <w:tcW w:type="dxa" w:w="6520"/>
          </w:tcPr>
          <w:p>
            <w:r>
              <w:t xml:space="preserve"> </w:t>
            </w:r>
          </w:p>
        </w:tc>
      </w:tr>
      <w:tr>
        <w:tc>
          <w:tcPr>
            <w:tcW w:type="dxa" w:w="3118"/>
            <w:shd w:val="clear" w:fill="EEF3FF"/>
          </w:tcPr>
          <w:p>
            <w:r>
              <w:rPr>
                <w:b/>
              </w:rPr>
              <w:t>Una cosa gratuita che mi piace</w:t>
            </w:r>
          </w:p>
        </w:tc>
        <w:tc>
          <w:tcPr>
            <w:tcW w:type="dxa" w:w="6520"/>
          </w:tcPr>
          <w:p>
            <w:r>
              <w:t xml:space="preserve"> </w:t>
            </w:r>
          </w:p>
        </w:tc>
      </w:tr>
      <w:tr>
        <w:tc>
          <w:tcPr>
            <w:tcW w:type="dxa" w:w="3118"/>
            <w:shd w:val="clear" w:fill="EEF3FF"/>
          </w:tcPr>
          <w:p>
            <w:r>
              <w:rPr>
                <w:b/>
              </w:rPr>
              <w:t>Il mio passo di radicamento</w:t>
            </w:r>
          </w:p>
        </w:tc>
        <w:tc>
          <w:tcPr>
            <w:tcW w:type="dxa" w:w="6520"/>
          </w:tcPr>
          <w:p>
            <w:r>
              <w:t xml:space="preserve"> </w:t>
            </w:r>
          </w:p>
        </w:tc>
      </w:tr>
      <w:tr>
        <w:tc>
          <w:tcPr>
            <w:tcW w:type="dxa" w:w="3118"/>
            <w:shd w:val="clear" w:fill="EEF3FF"/>
          </w:tcPr>
          <w:p>
            <w:r>
              <w:rPr>
                <w:b/>
              </w:rPr>
              <w:t>Le mie parole gentili per me</w:t>
            </w:r>
          </w:p>
        </w:tc>
        <w:tc>
          <w:tcPr>
            <w:tcW w:type="dxa" w:w="6520"/>
          </w:tcPr>
          <w:p>
            <w:r>
              <w:t xml:space="preserve"> </w:t>
            </w:r>
          </w:p>
        </w:tc>
      </w:tr>
    </w:tbl>
    <w:p/>
    <w:p>
      <w:pPr>
        <w:pStyle w:val="Heading2"/>
      </w:pPr>
      <w:r>
        <w:t>Prendersi cura di sé senza spendere</w:t>
      </w:r>
    </w:p>
    <w:p>
      <w:pPr>
        <w:pStyle w:val="ListBullet"/>
      </w:pPr>
      <w:r>
        <w:t>Una breve passeggiata fuori o un po' di tempo alla luce del giorno</w:t>
      </w:r>
    </w:p>
    <w:p>
      <w:pPr>
        <w:pStyle w:val="ListBullet"/>
      </w:pPr>
      <w:r>
        <w:t>Una bevanda calda, bevuta piano</w:t>
      </w:r>
    </w:p>
    <w:p>
      <w:pPr>
        <w:pStyle w:val="ListBullet"/>
      </w:pPr>
      <w:r>
        <w:t>Una canzone preferita</w:t>
      </w:r>
    </w:p>
    <w:p>
      <w:pPr>
        <w:pStyle w:val="ListBullet"/>
      </w:pPr>
      <w:r>
        <w:t>Un messaggio a qualcuno che ti fa stare bene</w:t>
      </w:r>
    </w:p>
    <w:p>
      <w:pPr>
        <w:pStyle w:val="ListBullet"/>
      </w:pPr>
      <w:r>
        <w:t>Andare a letto un po' prima</w:t>
      </w:r>
    </w:p>
    <w:p>
      <w:pPr>
        <w:pStyle w:val="ListBullet"/>
      </w:pPr>
      <w:r>
        <w:t>Dire di no a una cosa per cui non hai energia</w:t>
      </w:r>
    </w:p>
    <w:sectPr w:rsidR="00FC693F" w:rsidRPr="0006063C" w:rsidSect="00034616">
      <w:headerReference w:type="default" r:id="rId9"/>
      <w:footerReference w:type="default" r:id="rId10"/>
      <w:pgSz w:w="11906" w:h="16838"/>
      <w:pgMar w:top="907" w:right="1134" w:bottom="1020" w:left="113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color w:val="475569"/>
        <w:sz w:val="14"/>
      </w:rPr>
      <w:t>Finanziato dall'Unione europea. Le opinioni e i punti di vista espressi sono tuttavia esclusivamente quelli degli autori e non riflettono necessariamente quelli dell'Unione europea o dell'Agenzia nazionale Erasmus+ INDIRE. Né l'Unione europea né l'autorità che ha concesso il finanziamento possono esserne ritenute responsabili.  Progetto 2025-1-IT02-KA210-ADU-000354693</w:t>
    </w:r>
  </w:p>
  <w:p>
    <w:r>
      <w:rPr>
        <w:color w:val="2F5BEA"/>
        <w:sz w:val="16"/>
      </w:rPr>
      <w:t>FIRE · Financial Resilience · fire.elnlab.eu · Finanziato dall'Unione europea.</w:t>
    </w:r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</w:pPr>
    <w:r/>
  </w:p>
  <w:tbl>
    <w:tblPr>
      <w:tblW w:type="auto" w:w="0"/>
      <w:tblLook w:firstColumn="1" w:firstRow="1" w:lastColumn="0" w:lastRow="0" w:noHBand="0" w:noVBand="1" w:val="04A0"/>
      <w:tblBorders>
        <w:top w:val="nil" w:sz="6" w:color="FFFFFF"/>
        <w:left w:val="nil" w:sz="6" w:color="FFFFFF"/>
        <w:bottom w:val="nil" w:sz="6" w:color="FFFFFF"/>
        <w:right w:val="nil" w:sz="6" w:color="FFFFFF"/>
        <w:insideH w:val="nil" w:sz="6" w:color="FFFFFF"/>
        <w:insideV w:val="nil" w:sz="6" w:color="FFFFFF"/>
      </w:tblBorders>
      <w:tblCellMar>
        <w:top w:w="60" w:type="dxa"/>
        <w:bottom w:w="60" w:type="dxa"/>
        <w:left w:w="100" w:type="dxa"/>
        <w:right w:w="100" w:type="dxa"/>
      </w:tblCellMar>
    </w:tblPr>
    <w:tblGrid>
      <w:gridCol w:w="4819"/>
      <w:gridCol w:w="4819"/>
    </w:tblGrid>
    <w:tr>
      <w:tc>
        <w:tcPr>
          <w:tcW w:type="dxa" w:w="4819"/>
        </w:tcPr>
        <w:p>
          <w:r>
            <w:drawing>
              <wp:inline xmlns:a="http://schemas.openxmlformats.org/drawingml/2006/main" xmlns:pic="http://schemas.openxmlformats.org/drawingml/2006/picture">
                <wp:extent cx="1470536" cy="324000"/>
                <wp:docPr id="1" name="Picture 1"/>
                <wp:cNvGraphicFramePr>
                  <a:graphicFrameLocks noChangeAspect="1"/>
                </wp:cNvGraphicFramePr>
                <a:graphic>
                  <a:graphicData uri="http://schemas.openxmlformats.org/drawingml/2006/picture">
                    <pic:pic>
                      <pic:nvPicPr>
                        <pic:cNvPr id="0" name="eu-co-funded-it.jpg"/>
                        <pic:cNvPicPr/>
                      </pic:nvPicPr>
                      <pic:blipFill>
                        <a:blip r:embed="rId1"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1470536" cy="324000"/>
                        </a:xfrm>
                        <a:prstGeom prst="rect"/>
                      </pic:spPr>
                    </pic:pic>
                  </a:graphicData>
                </a:graphic>
              </wp:inline>
            </w:drawing>
          </w:r>
        </w:p>
      </w:tc>
      <w:tc>
        <w:tcPr>
          <w:tcW w:type="dxa" w:w="4819"/>
        </w:tcPr>
        <w:p>
          <w:pPr>
            <w:jc w:val="right"/>
          </w:pPr>
          <w:r>
            <w:drawing>
              <wp:inline xmlns:a="http://schemas.openxmlformats.org/drawingml/2006/main" xmlns:pic="http://schemas.openxmlformats.org/drawingml/2006/picture">
                <wp:extent cx="652675" cy="432000"/>
                <wp:docPr id="2" name="Picture 2"/>
                <wp:cNvGraphicFramePr>
                  <a:graphicFrameLocks noChangeAspect="1"/>
                </wp:cNvGraphicFramePr>
                <a:graphic>
                  <a:graphicData uri="http://schemas.openxmlformats.org/drawingml/2006/picture">
                    <pic:pic>
                      <pic:nvPicPr>
                        <pic:cNvPr id="0" name="fire-logo.png"/>
                        <pic:cNvPicPr/>
                      </pic:nvPicPr>
                      <pic:blipFill>
                        <a:blip r:embed="rId2"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652675" cy="432000"/>
                        </a:xfrm>
                        <a:prstGeom prst="rect"/>
                      </pic:spPr>
                    </pic:pic>
                  </a:graphicData>
                </a:graphic>
              </wp:inline>
            </w:drawing>
          </w:r>
        </w:p>
      </w:tc>
    </w:tr>
  </w:tbl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00"/>
    </w:pPr>
    <w:rPr>
      <w:rFonts w:ascii="Calibri" w:hAnsi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Poppins" w:hAnsi="Poppins"/>
      <w:b/>
      <w:bCs/>
      <w:color w:val="00309A"/>
      <w:sz w:val="40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Poppins" w:hAnsi="Poppins"/>
      <w:b/>
      <w:bCs/>
      <w:color w:val="00309A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footer" Target="footer1.xml"/></Relationships>
</file>

<file path=word/_rels/header1.xml.rels><?xml version='1.0' encoding='UTF-8' standalone='yes'?>
<Relationships xmlns="http://schemas.openxmlformats.org/package/2006/relationships"><Relationship Id="rId1" Type="http://schemas.openxmlformats.org/officeDocument/2006/relationships/image" Target="media/image1.jpg"/><Relationship Id="rId2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