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F5BEA"/>
          <w:sz w:val="18"/>
        </w:rPr>
        <w:t>VORLAGE  ·  FÜR KURSLEITENDE</w:t>
      </w:r>
    </w:p>
    <w:p>
      <w:pPr>
        <w:pStyle w:val="Heading1"/>
      </w:pPr>
      <w:r>
        <w:t>Planung einer Kurseinheit</w:t>
      </w:r>
    </w:p>
    <w:p>
      <w:r>
        <w:t>Mit dieser Vorlage planen Sie eine Gruppeneinheit mit Frauen: in Präsenz, online oder hybrid. Das Beispiel zeigt eine 120-minütige Pilot-Einheit auf Basis einer Training Pill. Passen Sie die Zeiten an Ihre Gruppe an und behalten Sie die Sicherheitsschritte bei.</w:t>
      </w:r>
    </w:p>
    <w:p>
      <w:pPr>
        <w:pStyle w:val="Heading2"/>
      </w:pPr>
      <w:r>
        <w:t>Angaben zur Einheit</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Titel der Einheit</w:t>
            </w:r>
          </w:p>
        </w:tc>
        <w:tc>
          <w:tcPr>
            <w:tcW w:type="dxa" w:w="6520"/>
          </w:tcPr>
          <w:p>
            <w:r>
              <w:t xml:space="preserve"> </w:t>
            </w:r>
          </w:p>
        </w:tc>
      </w:tr>
      <w:tr>
        <w:tc>
          <w:tcPr>
            <w:tcW w:type="dxa" w:w="3118"/>
            <w:shd w:val="clear" w:fill="EEF3FF"/>
          </w:tcPr>
          <w:p>
            <w:r>
              <w:rPr>
                <w:b/>
              </w:rPr>
              <w:t>Datum und Uhrzeit</w:t>
            </w:r>
          </w:p>
        </w:tc>
        <w:tc>
          <w:tcPr>
            <w:tcW w:type="dxa" w:w="6520"/>
          </w:tcPr>
          <w:p>
            <w:r>
              <w:t xml:space="preserve"> </w:t>
            </w:r>
          </w:p>
        </w:tc>
      </w:tr>
      <w:tr>
        <w:tc>
          <w:tcPr>
            <w:tcW w:type="dxa" w:w="3118"/>
            <w:shd w:val="clear" w:fill="EEF3FF"/>
          </w:tcPr>
          <w:p>
            <w:r>
              <w:rPr>
                <w:b/>
              </w:rPr>
              <w:t>Format (Präsenz, online, hybrid)</w:t>
            </w:r>
          </w:p>
        </w:tc>
        <w:tc>
          <w:tcPr>
            <w:tcW w:type="dxa" w:w="6520"/>
          </w:tcPr>
          <w:p>
            <w:r>
              <w:t xml:space="preserve"> </w:t>
            </w:r>
          </w:p>
        </w:tc>
      </w:tr>
      <w:tr>
        <w:tc>
          <w:tcPr>
            <w:tcW w:type="dxa" w:w="3118"/>
            <w:shd w:val="clear" w:fill="EEF3FF"/>
          </w:tcPr>
          <w:p>
            <w:r>
              <w:rPr>
                <w:b/>
              </w:rPr>
              <w:t>Ort oder Link</w:t>
            </w:r>
          </w:p>
        </w:tc>
        <w:tc>
          <w:tcPr>
            <w:tcW w:type="dxa" w:w="6520"/>
          </w:tcPr>
          <w:p>
            <w:r>
              <w:t xml:space="preserve"> </w:t>
            </w:r>
          </w:p>
        </w:tc>
      </w:tr>
      <w:tr>
        <w:tc>
          <w:tcPr>
            <w:tcW w:type="dxa" w:w="3118"/>
            <w:shd w:val="clear" w:fill="EEF3FF"/>
          </w:tcPr>
          <w:p>
            <w:r>
              <w:rPr>
                <w:b/>
              </w:rPr>
              <w:t>Kursleitung</w:t>
            </w:r>
          </w:p>
        </w:tc>
        <w:tc>
          <w:tcPr>
            <w:tcW w:type="dxa" w:w="6520"/>
          </w:tcPr>
          <w:p>
            <w:r>
              <w:t xml:space="preserve"> </w:t>
            </w:r>
          </w:p>
        </w:tc>
      </w:tr>
      <w:tr>
        <w:tc>
          <w:tcPr>
            <w:tcW w:type="dxa" w:w="3118"/>
            <w:shd w:val="clear" w:fill="EEF3FF"/>
          </w:tcPr>
          <w:p>
            <w:r>
              <w:rPr>
                <w:b/>
              </w:rPr>
              <w:t>Anzahl der Teilnehmerinnen</w:t>
            </w:r>
          </w:p>
        </w:tc>
        <w:tc>
          <w:tcPr>
            <w:tcW w:type="dxa" w:w="6520"/>
          </w:tcPr>
          <w:p>
            <w:r>
              <w:t xml:space="preserve"> </w:t>
            </w:r>
          </w:p>
        </w:tc>
      </w:tr>
      <w:tr>
        <w:tc>
          <w:tcPr>
            <w:tcW w:type="dxa" w:w="3118"/>
            <w:shd w:val="clear" w:fill="EEF3FF"/>
          </w:tcPr>
          <w:p>
            <w:r>
              <w:rPr>
                <w:b/>
              </w:rPr>
              <w:t>Genutzte Lektionen, Pills und Tools</w:t>
            </w:r>
          </w:p>
        </w:tc>
        <w:tc>
          <w:tcPr>
            <w:tcW w:type="dxa" w:w="6520"/>
          </w:tcPr>
          <w:p>
            <w:r>
              <w:t xml:space="preserve"> </w:t>
            </w:r>
          </w:p>
        </w:tc>
      </w:tr>
      <w:tr>
        <w:tc>
          <w:tcPr>
            <w:tcW w:type="dxa" w:w="3118"/>
            <w:shd w:val="clear" w:fill="EEF3FF"/>
          </w:tcPr>
          <w:p>
            <w:r>
              <w:rPr>
                <w:b/>
              </w:rPr>
              <w:t>Material und Ausstattung</w:t>
            </w:r>
          </w:p>
        </w:tc>
        <w:tc>
          <w:tcPr>
            <w:tcW w:type="dxa" w:w="6520"/>
          </w:tcPr>
          <w:p>
            <w:r>
              <w:t xml:space="preserve"> </w:t>
            </w:r>
          </w:p>
        </w:tc>
      </w:tr>
      <w:tr>
        <w:tc>
          <w:tcPr>
            <w:tcW w:type="dxa" w:w="3118"/>
            <w:shd w:val="clear" w:fill="EEF3FF"/>
          </w:tcPr>
          <w:p>
            <w:r>
              <w:rPr>
                <w:b/>
              </w:rPr>
              <w:t>Sprache(n) und Dolmetschen</w:t>
            </w:r>
          </w:p>
        </w:tc>
        <w:tc>
          <w:tcPr>
            <w:tcW w:type="dxa" w:w="6520"/>
          </w:tcPr>
          <w:p>
            <w:r>
              <w:t xml:space="preserve"> </w:t>
            </w:r>
          </w:p>
        </w:tc>
      </w:tr>
    </w:tbl>
    <w:p/>
    <w:p>
      <w:pPr>
        <w:pStyle w:val="Heading2"/>
      </w:pPr>
      <w:r>
        <w:t>Lernergebnisse</w:t>
      </w:r>
    </w:p>
    <w:p>
      <w:r>
        <w:t>Am Ende der Einheit können die Teilnehmerinnen:</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Ergebnis 1</w:t>
            </w:r>
          </w:p>
        </w:tc>
        <w:tc>
          <w:tcPr>
            <w:tcW w:type="dxa" w:w="6520"/>
          </w:tcPr>
          <w:p>
            <w:r>
              <w:t xml:space="preserve"> </w:t>
            </w:r>
          </w:p>
        </w:tc>
      </w:tr>
      <w:tr>
        <w:tc>
          <w:tcPr>
            <w:tcW w:type="dxa" w:w="3118"/>
            <w:shd w:val="clear" w:fill="EEF3FF"/>
          </w:tcPr>
          <w:p>
            <w:r>
              <w:rPr>
                <w:b/>
              </w:rPr>
              <w:t>Ergebnis 2</w:t>
            </w:r>
          </w:p>
        </w:tc>
        <w:tc>
          <w:tcPr>
            <w:tcW w:type="dxa" w:w="6520"/>
          </w:tcPr>
          <w:p>
            <w:r>
              <w:t xml:space="preserve"> </w:t>
            </w:r>
          </w:p>
        </w:tc>
      </w:tr>
      <w:tr>
        <w:tc>
          <w:tcPr>
            <w:tcW w:type="dxa" w:w="3118"/>
            <w:shd w:val="clear" w:fill="EEF3FF"/>
          </w:tcPr>
          <w:p>
            <w:r>
              <w:rPr>
                <w:b/>
              </w:rPr>
              <w:t>Ergebnis 3</w:t>
            </w:r>
          </w:p>
        </w:tc>
        <w:tc>
          <w:tcPr>
            <w:tcW w:type="dxa" w:w="6520"/>
          </w:tcPr>
          <w:p>
            <w:r>
              <w:t xml:space="preserve"> </w:t>
            </w:r>
          </w:p>
        </w:tc>
      </w:tr>
    </w:tbl>
    <w:p/>
    <w:p>
      <w:pPr>
        <w:pStyle w:val="Heading2"/>
      </w:pPr>
      <w:r>
        <w:t>Planung einer Kurseinheit</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1928"/>
        <w:gridCol w:w="1928"/>
        <w:gridCol w:w="1928"/>
        <w:gridCol w:w="1928"/>
        <w:gridCol w:w="1928"/>
      </w:tblGrid>
      <w:tr>
        <w:tc>
          <w:tcPr>
            <w:tcW w:type="dxa" w:w="1928"/>
            <w:shd w:val="clear" w:fill="00309A"/>
          </w:tcPr>
          <w:p>
            <w:r>
              <w:rPr>
                <w:b/>
                <w:color w:val="FFFFFF"/>
              </w:rPr>
              <w:t>Zeit</w:t>
            </w:r>
          </w:p>
        </w:tc>
        <w:tc>
          <w:tcPr>
            <w:tcW w:type="dxa" w:w="1928"/>
            <w:shd w:val="clear" w:fill="00309A"/>
          </w:tcPr>
          <w:p>
            <w:r>
              <w:rPr>
                <w:b/>
                <w:color w:val="FFFFFF"/>
              </w:rPr>
              <w:t>Minuten</w:t>
            </w:r>
          </w:p>
        </w:tc>
        <w:tc>
          <w:tcPr>
            <w:tcW w:type="dxa" w:w="1928"/>
            <w:shd w:val="clear" w:fill="00309A"/>
          </w:tcPr>
          <w:p>
            <w:r>
              <w:rPr>
                <w:b/>
                <w:color w:val="FFFFFF"/>
              </w:rPr>
              <w:t>Aktivität</w:t>
            </w:r>
          </w:p>
        </w:tc>
        <w:tc>
          <w:tcPr>
            <w:tcW w:type="dxa" w:w="1928"/>
            <w:shd w:val="clear" w:fill="00309A"/>
          </w:tcPr>
          <w:p>
            <w:r>
              <w:rPr>
                <w:b/>
                <w:color w:val="FFFFFF"/>
              </w:rPr>
              <w:t>Wie</w:t>
            </w:r>
          </w:p>
        </w:tc>
        <w:tc>
          <w:tcPr>
            <w:tcW w:type="dxa" w:w="1928"/>
            <w:shd w:val="clear" w:fill="00309A"/>
          </w:tcPr>
          <w:p>
            <w:r>
              <w:rPr>
                <w:b/>
                <w:color w:val="FFFFFF"/>
              </w:rPr>
              <w:t>Material</w:t>
            </w:r>
          </w:p>
        </w:tc>
      </w:tr>
      <w:tr>
        <w:tc>
          <w:tcPr>
            <w:tcW w:type="dxa" w:w="1928"/>
          </w:tcPr>
          <w:p>
            <w:r>
              <w:rPr>
                <w:sz w:val="20"/>
              </w:rPr>
              <w:t>0:00</w:t>
            </w:r>
          </w:p>
        </w:tc>
        <w:tc>
          <w:tcPr>
            <w:tcW w:type="dxa" w:w="1928"/>
          </w:tcPr>
          <w:p>
            <w:r>
              <w:rPr>
                <w:sz w:val="20"/>
              </w:rPr>
              <w:t>15</w:t>
            </w:r>
          </w:p>
        </w:tc>
        <w:tc>
          <w:tcPr>
            <w:tcW w:type="dxa" w:w="1928"/>
          </w:tcPr>
          <w:p>
            <w:r>
              <w:rPr>
                <w:sz w:val="20"/>
              </w:rPr>
              <w:t>Begrüßung und Gruppenregeln</w:t>
            </w:r>
          </w:p>
        </w:tc>
        <w:tc>
          <w:tcPr>
            <w:tcW w:type="dxa" w:w="1928"/>
          </w:tcPr>
          <w:p>
            <w:r>
              <w:rPr>
                <w:sz w:val="20"/>
              </w:rPr>
              <w:t>Namensrunde (Vor- oder Spitznamen). Vertraulichkeit, Respekt und das Recht zu schweigen vereinbaren.</w:t>
            </w:r>
          </w:p>
        </w:tc>
        <w:tc>
          <w:tcPr>
            <w:tcW w:type="dxa" w:w="1928"/>
          </w:tcPr>
          <w:p>
            <w:r>
              <w:rPr>
                <w:sz w:val="20"/>
              </w:rPr>
              <w:t>Plakat mit Gruppenregeln</w:t>
            </w:r>
          </w:p>
        </w:tc>
      </w:tr>
      <w:tr>
        <w:tc>
          <w:tcPr>
            <w:tcW w:type="dxa" w:w="1928"/>
          </w:tcPr>
          <w:p>
            <w:r>
              <w:rPr>
                <w:sz w:val="20"/>
              </w:rPr>
              <w:t>0:15</w:t>
            </w:r>
          </w:p>
        </w:tc>
        <w:tc>
          <w:tcPr>
            <w:tcW w:type="dxa" w:w="1928"/>
          </w:tcPr>
          <w:p>
            <w:r>
              <w:rPr>
                <w:sz w:val="20"/>
              </w:rPr>
              <w:t>5</w:t>
            </w:r>
          </w:p>
        </w:tc>
        <w:tc>
          <w:tcPr>
            <w:tcW w:type="dxa" w:w="1928"/>
          </w:tcPr>
          <w:p>
            <w:r>
              <w:rPr>
                <w:sz w:val="20"/>
              </w:rPr>
              <w:t>Inhaltshinweis und Sicherheit</w:t>
            </w:r>
          </w:p>
        </w:tc>
        <w:tc>
          <w:tcPr>
            <w:tcW w:type="dxa" w:w="1928"/>
          </w:tcPr>
          <w:p>
            <w:r>
              <w:rPr>
                <w:sz w:val="20"/>
              </w:rPr>
              <w:t>Thema und Schnellausstieg-Button erklären; Erzählen ist freiwillig.</w:t>
            </w:r>
          </w:p>
        </w:tc>
        <w:tc>
          <w:tcPr>
            <w:tcW w:type="dxa" w:w="1928"/>
          </w:tcPr>
          <w:p>
            <w:r>
              <w:rPr>
                <w:sz w:val="20"/>
              </w:rPr>
              <w:t>Blatt mit Hilfekontakten</w:t>
            </w:r>
          </w:p>
        </w:tc>
      </w:tr>
      <w:tr>
        <w:tc>
          <w:tcPr>
            <w:tcW w:type="dxa" w:w="1928"/>
          </w:tcPr>
          <w:p>
            <w:r>
              <w:rPr>
                <w:sz w:val="20"/>
              </w:rPr>
              <w:t>0:20</w:t>
            </w:r>
          </w:p>
        </w:tc>
        <w:tc>
          <w:tcPr>
            <w:tcW w:type="dxa" w:w="1928"/>
          </w:tcPr>
          <w:p>
            <w:r>
              <w:rPr>
                <w:sz w:val="20"/>
              </w:rPr>
              <w:t>15</w:t>
            </w:r>
          </w:p>
        </w:tc>
        <w:tc>
          <w:tcPr>
            <w:tcW w:type="dxa" w:w="1928"/>
          </w:tcPr>
          <w:p>
            <w:r>
              <w:rPr>
                <w:sz w:val="20"/>
              </w:rPr>
              <w:t>Video der Training Pill</w:t>
            </w:r>
          </w:p>
        </w:tc>
        <w:tc>
          <w:tcPr>
            <w:tcW w:type="dxa" w:w="1928"/>
          </w:tcPr>
          <w:p>
            <w:r>
              <w:rPr>
                <w:sz w:val="20"/>
              </w:rPr>
              <w:t>Die Pill gemeinsam ansehen. Fragen: Was war neu für Sie?</w:t>
            </w:r>
          </w:p>
        </w:tc>
        <w:tc>
          <w:tcPr>
            <w:tcW w:type="dxa" w:w="1928"/>
          </w:tcPr>
          <w:p>
            <w:r>
              <w:rPr>
                <w:sz w:val="20"/>
              </w:rPr>
              <w:t>Beamer, Video</w:t>
            </w:r>
          </w:p>
        </w:tc>
      </w:tr>
      <w:tr>
        <w:tc>
          <w:tcPr>
            <w:tcW w:type="dxa" w:w="1928"/>
          </w:tcPr>
          <w:p>
            <w:r>
              <w:rPr>
                <w:sz w:val="20"/>
              </w:rPr>
              <w:t>0:35</w:t>
            </w:r>
          </w:p>
        </w:tc>
        <w:tc>
          <w:tcPr>
            <w:tcW w:type="dxa" w:w="1928"/>
          </w:tcPr>
          <w:p>
            <w:r>
              <w:rPr>
                <w:sz w:val="20"/>
              </w:rPr>
              <w:t>25</w:t>
            </w:r>
          </w:p>
        </w:tc>
        <w:tc>
          <w:tcPr>
            <w:tcW w:type="dxa" w:w="1928"/>
          </w:tcPr>
          <w:p>
            <w:r>
              <w:rPr>
                <w:sz w:val="20"/>
              </w:rPr>
              <w:t>Übung</w:t>
            </w:r>
          </w:p>
        </w:tc>
        <w:tc>
          <w:tcPr>
            <w:tcW w:type="dxa" w:w="1928"/>
          </w:tcPr>
          <w:p>
            <w:r>
              <w:rPr>
                <w:sz w:val="20"/>
              </w:rPr>
              <w:t>Paare bearbeiten die Übung der Pill oder ein Tool, z. B. den Haushaltsplaner.</w:t>
            </w:r>
          </w:p>
        </w:tc>
        <w:tc>
          <w:tcPr>
            <w:tcW w:type="dxa" w:w="1928"/>
          </w:tcPr>
          <w:p>
            <w:r>
              <w:rPr>
                <w:sz w:val="20"/>
              </w:rPr>
              <w:t>Handout, Geräte</w:t>
            </w:r>
          </w:p>
        </w:tc>
      </w:tr>
      <w:tr>
        <w:tc>
          <w:tcPr>
            <w:tcW w:type="dxa" w:w="1928"/>
          </w:tcPr>
          <w:p>
            <w:r>
              <w:rPr>
                <w:sz w:val="20"/>
              </w:rPr>
              <w:t>1:00</w:t>
            </w:r>
          </w:p>
        </w:tc>
        <w:tc>
          <w:tcPr>
            <w:tcW w:type="dxa" w:w="1928"/>
          </w:tcPr>
          <w:p>
            <w:r>
              <w:rPr>
                <w:sz w:val="20"/>
              </w:rPr>
              <w:t>10</w:t>
            </w:r>
          </w:p>
        </w:tc>
        <w:tc>
          <w:tcPr>
            <w:tcW w:type="dxa" w:w="1928"/>
          </w:tcPr>
          <w:p>
            <w:r>
              <w:rPr>
                <w:sz w:val="20"/>
              </w:rPr>
              <w:t>Pause</w:t>
            </w:r>
          </w:p>
        </w:tc>
        <w:tc>
          <w:tcPr>
            <w:tcW w:type="dxa" w:w="1928"/>
          </w:tcPr>
          <w:p>
            <w:r>
              <w:rPr>
                <w:sz w:val="20"/>
              </w:rPr>
            </w:r>
          </w:p>
        </w:tc>
        <w:tc>
          <w:tcPr>
            <w:tcW w:type="dxa" w:w="1928"/>
          </w:tcPr>
          <w:p>
            <w:r>
              <w:rPr>
                <w:sz w:val="20"/>
              </w:rPr>
            </w:r>
          </w:p>
        </w:tc>
      </w:tr>
      <w:tr>
        <w:tc>
          <w:tcPr>
            <w:tcW w:type="dxa" w:w="1928"/>
          </w:tcPr>
          <w:p>
            <w:r>
              <w:rPr>
                <w:sz w:val="20"/>
              </w:rPr>
              <w:t>1:10</w:t>
            </w:r>
          </w:p>
        </w:tc>
        <w:tc>
          <w:tcPr>
            <w:tcW w:type="dxa" w:w="1928"/>
          </w:tcPr>
          <w:p>
            <w:r>
              <w:rPr>
                <w:sz w:val="20"/>
              </w:rPr>
              <w:t>25</w:t>
            </w:r>
          </w:p>
        </w:tc>
        <w:tc>
          <w:tcPr>
            <w:tcW w:type="dxa" w:w="1928"/>
          </w:tcPr>
          <w:p>
            <w:r>
              <w:rPr>
                <w:sz w:val="20"/>
              </w:rPr>
              <w:t>Reflexion in der Gruppe</w:t>
            </w:r>
          </w:p>
        </w:tc>
        <w:tc>
          <w:tcPr>
            <w:tcW w:type="dxa" w:w="1928"/>
          </w:tcPr>
          <w:p>
            <w:r>
              <w:rPr>
                <w:sz w:val="20"/>
              </w:rPr>
              <w:t>Reflexionsfragen nutzen. Jede teilt nur, was sie möchte.</w:t>
            </w:r>
          </w:p>
        </w:tc>
        <w:tc>
          <w:tcPr>
            <w:tcW w:type="dxa" w:w="1928"/>
          </w:tcPr>
          <w:p>
            <w:r>
              <w:rPr>
                <w:sz w:val="20"/>
              </w:rPr>
              <w:t>Reflexionskarten</w:t>
            </w:r>
          </w:p>
        </w:tc>
      </w:tr>
      <w:tr>
        <w:tc>
          <w:tcPr>
            <w:tcW w:type="dxa" w:w="1928"/>
          </w:tcPr>
          <w:p>
            <w:r>
              <w:rPr>
                <w:sz w:val="20"/>
              </w:rPr>
              <w:t>1:35</w:t>
            </w:r>
          </w:p>
        </w:tc>
        <w:tc>
          <w:tcPr>
            <w:tcW w:type="dxa" w:w="1928"/>
          </w:tcPr>
          <w:p>
            <w:r>
              <w:rPr>
                <w:sz w:val="20"/>
              </w:rPr>
              <w:t>15</w:t>
            </w:r>
          </w:p>
        </w:tc>
        <w:tc>
          <w:tcPr>
            <w:tcW w:type="dxa" w:w="1928"/>
          </w:tcPr>
          <w:p>
            <w:r>
              <w:rPr>
                <w:sz w:val="20"/>
              </w:rPr>
              <w:t>Ruhiger Abschluss</w:t>
            </w:r>
          </w:p>
        </w:tc>
        <w:tc>
          <w:tcPr>
            <w:tcW w:type="dxa" w:w="1928"/>
          </w:tcPr>
          <w:p>
            <w:r>
              <w:rPr>
                <w:sz w:val="20"/>
              </w:rPr>
              <w:t>Atmung 4-4-6 und ein kleiner Schritt für diese Woche.</w:t>
            </w:r>
          </w:p>
        </w:tc>
        <w:tc>
          <w:tcPr>
            <w:tcW w:type="dxa" w:w="1928"/>
          </w:tcPr>
          <w:p>
            <w:r>
              <w:rPr>
                <w:sz w:val="20"/>
              </w:rPr>
              <w:t>Karte: Mein Ruhe-Koffer</w:t>
            </w:r>
          </w:p>
        </w:tc>
      </w:tr>
      <w:tr>
        <w:tc>
          <w:tcPr>
            <w:tcW w:type="dxa" w:w="1928"/>
          </w:tcPr>
          <w:p>
            <w:r>
              <w:rPr>
                <w:sz w:val="20"/>
              </w:rPr>
              <w:t>1:50</w:t>
            </w:r>
          </w:p>
        </w:tc>
        <w:tc>
          <w:tcPr>
            <w:tcW w:type="dxa" w:w="1928"/>
          </w:tcPr>
          <w:p>
            <w:r>
              <w:rPr>
                <w:sz w:val="20"/>
              </w:rPr>
              <w:t>10</w:t>
            </w:r>
          </w:p>
        </w:tc>
        <w:tc>
          <w:tcPr>
            <w:tcW w:type="dxa" w:w="1928"/>
          </w:tcPr>
          <w:p>
            <w:r>
              <w:rPr>
                <w:sz w:val="20"/>
              </w:rPr>
              <w:t>Hilfe und Feedback</w:t>
            </w:r>
          </w:p>
        </w:tc>
        <w:tc>
          <w:tcPr>
            <w:tcW w:type="dxa" w:w="1928"/>
          </w:tcPr>
          <w:p>
            <w:r>
              <w:rPr>
                <w:sz w:val="20"/>
              </w:rPr>
              <w:t>Auf Hilfekontakte hinweisen und kurzes Feedback einholen.</w:t>
            </w:r>
          </w:p>
        </w:tc>
        <w:tc>
          <w:tcPr>
            <w:tcW w:type="dxa" w:w="1928"/>
          </w:tcPr>
          <w:p>
            <w:r>
              <w:rPr>
                <w:sz w:val="20"/>
              </w:rPr>
              <w:t>Feedbackbogen</w:t>
            </w:r>
          </w:p>
        </w:tc>
      </w:tr>
      <w:tr>
        <w:tc>
          <w:tcPr>
            <w:tcW w:type="dxa" w:w="1928"/>
          </w:tcPr>
          <w:p>
            <w:r>
              <w:t xml:space="preserve"> </w:t>
            </w:r>
          </w:p>
        </w:tc>
        <w:tc>
          <w:tcPr>
            <w:tcW w:type="dxa" w:w="1928"/>
          </w:tcPr>
          <w:p>
            <w:r>
              <w:t xml:space="preserve"> </w:t>
            </w:r>
          </w:p>
        </w:tc>
        <w:tc>
          <w:tcPr>
            <w:tcW w:type="dxa" w:w="1928"/>
          </w:tcPr>
          <w:p>
            <w:r>
              <w:t xml:space="preserve"> </w:t>
            </w:r>
          </w:p>
        </w:tc>
        <w:tc>
          <w:tcPr>
            <w:tcW w:type="dxa" w:w="1928"/>
          </w:tcPr>
          <w:p>
            <w:r>
              <w:t xml:space="preserve"> </w:t>
            </w:r>
          </w:p>
        </w:tc>
        <w:tc>
          <w:tcPr>
            <w:tcW w:type="dxa" w:w="1928"/>
          </w:tcPr>
          <w:p>
            <w:r>
              <w:t xml:space="preserve"> </w:t>
            </w:r>
          </w:p>
        </w:tc>
      </w:tr>
      <w:tr>
        <w:tc>
          <w:tcPr>
            <w:tcW w:type="dxa" w:w="1928"/>
          </w:tcPr>
          <w:p>
            <w:r>
              <w:t xml:space="preserve"> </w:t>
            </w:r>
          </w:p>
        </w:tc>
        <w:tc>
          <w:tcPr>
            <w:tcW w:type="dxa" w:w="1928"/>
          </w:tcPr>
          <w:p>
            <w:r>
              <w:t xml:space="preserve"> </w:t>
            </w:r>
          </w:p>
        </w:tc>
        <w:tc>
          <w:tcPr>
            <w:tcW w:type="dxa" w:w="1928"/>
          </w:tcPr>
          <w:p>
            <w:r>
              <w:t xml:space="preserve"> </w:t>
            </w:r>
          </w:p>
        </w:tc>
        <w:tc>
          <w:tcPr>
            <w:tcW w:type="dxa" w:w="1928"/>
          </w:tcPr>
          <w:p>
            <w:r>
              <w:t xml:space="preserve"> </w:t>
            </w:r>
          </w:p>
        </w:tc>
        <w:tc>
          <w:tcPr>
            <w:tcW w:type="dxa" w:w="1928"/>
          </w:tcPr>
          <w:p>
            <w:r>
              <w:t xml:space="preserve"> </w:t>
            </w:r>
          </w:p>
        </w:tc>
      </w:tr>
    </w:tbl>
    <w:p/>
    <w:p>
      <w:pPr>
        <w:pStyle w:val="Heading2"/>
      </w:pPr>
      <w:r>
        <w:t>Vor der Einheit</w:t>
      </w:r>
    </w:p>
    <w:p>
      <w:pPr>
        <w:spacing w:after="60"/>
      </w:pPr>
      <w:r>
        <w:rPr>
          <w:color w:val="2F5BEA"/>
          <w:sz w:val="24"/>
        </w:rPr>
        <w:t xml:space="preserve">☐  </w:t>
      </w:r>
      <w:r>
        <w:t>Hilfekontakte für das Land sind ausgedruckt und unauffällig verfügbar.</w:t>
      </w:r>
    </w:p>
    <w:p>
      <w:pPr>
        <w:spacing w:after="60"/>
      </w:pPr>
      <w:r>
        <w:rPr>
          <w:color w:val="2F5BEA"/>
          <w:sz w:val="24"/>
        </w:rPr>
        <w:t xml:space="preserve">☐  </w:t>
      </w:r>
      <w:r>
        <w:t>Der Raum ist geschützt und barrierefrei, oder der Online-Raum ist sicher.</w:t>
      </w:r>
    </w:p>
    <w:p>
      <w:pPr>
        <w:spacing w:after="60"/>
      </w:pPr>
      <w:r>
        <w:rPr>
          <w:color w:val="2F5BEA"/>
          <w:sz w:val="24"/>
        </w:rPr>
        <w:t xml:space="preserve">☐  </w:t>
      </w:r>
      <w:r>
        <w:t>Die Zeiten passen zu Kinderbetreuung und Schulzeiten.</w:t>
      </w:r>
    </w:p>
    <w:p>
      <w:pPr>
        <w:spacing w:after="60"/>
      </w:pPr>
      <w:r>
        <w:rPr>
          <w:color w:val="2F5BEA"/>
          <w:sz w:val="24"/>
        </w:rPr>
        <w:t xml:space="preserve">☐  </w:t>
      </w:r>
      <w:r>
        <w:t>Bedarf an Fahrt, Geräten und Internet ist geklärt.</w:t>
      </w:r>
    </w:p>
    <w:p>
      <w:pPr>
        <w:spacing w:after="60"/>
      </w:pPr>
      <w:r>
        <w:rPr>
          <w:color w:val="2F5BEA"/>
          <w:sz w:val="24"/>
        </w:rPr>
        <w:t xml:space="preserve">☐  </w:t>
      </w:r>
      <w:r>
        <w:t>Dolmetschen ist bei Bedarf organisiert.</w:t>
      </w:r>
    </w:p>
    <w:p>
      <w:pPr>
        <w:spacing w:after="60"/>
      </w:pPr>
      <w:r>
        <w:rPr>
          <w:color w:val="2F5BEA"/>
          <w:sz w:val="24"/>
        </w:rPr>
        <w:t xml:space="preserve">☐  </w:t>
      </w:r>
      <w:r>
        <w:t>Ich kenne das Vorgehen der Organisation, wenn sich jemand anvertraut.</w:t>
      </w:r>
    </w:p>
    <w:p>
      <w:pPr>
        <w:pStyle w:val="Heading2"/>
      </w:pPr>
      <w:r>
        <w:t>Nach der Einheit</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Was gut funktioniert hat</w:t>
            </w:r>
          </w:p>
        </w:tc>
        <w:tc>
          <w:tcPr>
            <w:tcW w:type="dxa" w:w="6520"/>
          </w:tcPr>
          <w:p>
            <w:r>
              <w:t xml:space="preserve"> </w:t>
            </w:r>
          </w:p>
        </w:tc>
      </w:tr>
      <w:tr>
        <w:tc>
          <w:tcPr>
            <w:tcW w:type="dxa" w:w="3118"/>
            <w:shd w:val="clear" w:fill="EEF3FF"/>
          </w:tcPr>
          <w:p>
            <w:r>
              <w:rPr>
                <w:b/>
              </w:rPr>
              <w:t>Was ich beim nächsten Mal ändere</w:t>
            </w:r>
          </w:p>
        </w:tc>
        <w:tc>
          <w:tcPr>
            <w:tcW w:type="dxa" w:w="6520"/>
          </w:tcPr>
          <w:p>
            <w:r>
              <w:t xml:space="preserve"> </w:t>
            </w:r>
          </w:p>
        </w:tc>
      </w:tr>
      <w:tr>
        <w:tc>
          <w:tcPr>
            <w:tcW w:type="dxa" w:w="3118"/>
            <w:shd w:val="clear" w:fill="EEF3FF"/>
          </w:tcPr>
          <w:p>
            <w:r>
              <w:rPr>
                <w:b/>
              </w:rPr>
              <w:t>Nötige Nachbereitung (ohne Namen)</w:t>
            </w:r>
          </w:p>
        </w:tc>
        <w:tc>
          <w:tcPr>
            <w:tcW w:type="dxa" w:w="6520"/>
          </w:tcPr>
          <w:p>
            <w:r>
              <w:t xml:space="preserve"> </w:t>
            </w:r>
          </w:p>
        </w:tc>
      </w:tr>
    </w:tbl>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Finanziert von der Europäischen Union. Die geäußerten Ansichten und Meinungen entsprechen jedoch ausschließlich denen des Autors bzw. der Autoren und spiegeln nicht zwingend die der Europäischen Union oder der italienischen Nationalagentur Erasmus+ INDIRE wider. Weder die Europäische Union noch die Bewilligungsbehörde können für sie verantwortlich gemacht werden.  Projekt 2025-1-IT02-KA210-ADU-000354693</w:t>
    </w:r>
  </w:p>
  <w:p>
    <w:r>
      <w:rPr>
        <w:color w:val="2F5BEA"/>
        <w:sz w:val="16"/>
      </w:rPr>
      <w:t>FIRE · Financial Resilience · fire.elnlab.eu · Finanziert von der Europäischen Union.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87893" cy="324000"/>
                <wp:docPr id="1" name="Picture 1"/>
                <wp:cNvGraphicFramePr>
                  <a:graphicFrameLocks noChangeAspect="1"/>
                </wp:cNvGraphicFramePr>
                <a:graphic>
                  <a:graphicData uri="http://schemas.openxmlformats.org/drawingml/2006/picture">
                    <pic:pic>
                      <pic:nvPicPr>
                        <pic:cNvPr id="0" name="eu-co-funded-de.jpg"/>
                        <pic:cNvPicPr/>
                      </pic:nvPicPr>
                      <pic:blipFill>
                        <a:blip r:embed="rId1"/>
                        <a:stretch>
                          <a:fillRect/>
                        </a:stretch>
                      </pic:blipFill>
                      <pic:spPr>
                        <a:xfrm>
                          <a:off x="0" y="0"/>
                          <a:ext cx="148789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652675" cy="432000"/>
                <wp:docPr id="2" name="Picture 2"/>
                <wp:cNvGraphicFramePr>
                  <a:graphicFrameLocks noChangeAspect="1"/>
                </wp:cNvGraphicFramePr>
                <a:graphic>
                  <a:graphicData uri="http://schemas.openxmlformats.org/drawingml/2006/picture">
                    <pic:pic>
                      <pic:nvPicPr>
                        <pic:cNvPr id="0" name="fire-logo.png"/>
                        <pic:cNvPicPr/>
                      </pic:nvPicPr>
                      <pic:blipFill>
                        <a:blip r:embed="rId2"/>
                        <a:stretch>
                          <a:fillRect/>
                        </a:stretch>
                      </pic:blipFill>
                      <pic:spPr>
                        <a:xfrm>
                          <a:off x="0" y="0"/>
                          <a:ext cx="652675"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00309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