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85714" cy="396000"/>
                  <wp:docPr id="2" name="Picture 2"/>
                  <wp:cNvGraphicFramePr>
                    <a:graphicFrameLocks noChangeAspect="1"/>
                  </wp:cNvGraphicFramePr>
                  <a:graphic>
                    <a:graphicData uri="http://schemas.openxmlformats.org/drawingml/2006/picture">
                      <pic:pic>
                        <pic:nvPicPr>
                          <pic:cNvPr id="0" name="eu-co-funded-en.jpg"/>
                          <pic:cNvPicPr/>
                        </pic:nvPicPr>
                        <pic:blipFill>
                          <a:blip r:embed="rId10"/>
                          <a:stretch>
                            <a:fillRect/>
                          </a:stretch>
                        </pic:blipFill>
                        <pic:spPr>
                          <a:xfrm>
                            <a:off x="0" y="0"/>
                            <a:ext cx="1885714" cy="396000"/>
                          </a:xfrm>
                          <a:prstGeom prst="rect"/>
                        </pic:spPr>
                      </pic:pic>
                    </a:graphicData>
                  </a:graphic>
                </wp:inline>
              </w:drawing>
            </w:r>
          </w:p>
        </w:tc>
      </w:tr>
    </w:tbl>
    <w:p/>
    <w:p/>
    <w:p>
      <w:pPr>
        <w:spacing w:after="40"/>
      </w:pPr>
      <w:r>
        <w:rPr>
          <w:rFonts w:ascii="Poppins" w:hAnsi="Poppins"/>
          <w:b/>
          <w:i w:val="0"/>
          <w:color w:val="2F5BEA"/>
          <w:sz w:val="26"/>
        </w:rPr>
        <w:t>MULTIPLIER EVENT</w:t>
      </w:r>
    </w:p>
    <w:p>
      <w:pPr>
        <w:spacing w:after="120"/>
      </w:pPr>
      <w:r>
        <w:rPr>
          <w:rFonts w:ascii="Poppins" w:hAnsi="Poppins"/>
          <w:b/>
          <w:i w:val="0"/>
          <w:color w:val="00309A"/>
          <w:sz w:val="56"/>
        </w:rPr>
        <w:t>Multiplier event kit</w:t>
      </w:r>
    </w:p>
    <w:p/>
    <w:p>
      <w:r>
        <w:rPr>
          <w:b w:val="0"/>
          <w:i w:val="0"/>
          <w:sz w:val="24"/>
        </w:rPr>
        <w:t>A hybrid half-day event (in person and online) for about 30 participants per event, presenting the FIRE results to local stakeholders and communities: adult educators, social workers, service providers, NGOs, education organisations, local authorities and women's associations. Informamentis Europa holds one in Italy and EDUMANSHA one in Portugal, using this methodology from Never Give Up Förderverein. The aim of each event is to show the materials in action, collect feedback, and invite organisations to use the results and join the online support network.</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br w:type="page"/>
      </w:r>
    </w:p>
    <w:p>
      <w:pPr>
        <w:pStyle w:val="Heading2"/>
      </w:pPr>
      <w:r>
        <w:t>Agenda</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134"/>
        <w:gridCol w:w="8278"/>
      </w:tblGrid>
      <w:tr>
        <w:trPr>
          <w:cantSplit/>
          <w:tblHeader/>
        </w:trPr>
        <w:tc>
          <w:tcPr>
            <w:tcW w:type="dxa" w:w="1134"/>
            <w:shd w:val="clear" w:color="auto" w:fill="00309A"/>
          </w:tcPr>
          <w:p>
            <w:pPr>
              <w:spacing w:after="0"/>
            </w:pPr>
            <w:r>
              <w:rPr>
                <w:b/>
                <w:color w:val="FFFFFF"/>
                <w:sz w:val="20"/>
              </w:rPr>
              <w:t>Min</w:t>
            </w:r>
          </w:p>
        </w:tc>
        <w:tc>
          <w:tcPr>
            <w:tcW w:type="dxa" w:w="8277"/>
            <w:shd w:val="clear" w:color="auto" w:fill="00309A"/>
          </w:tcPr>
          <w:p>
            <w:pPr>
              <w:spacing w:after="0"/>
            </w:pPr>
            <w:r>
              <w:rPr>
                <w:b/>
                <w:color w:val="FFFFFF"/>
                <w:sz w:val="20"/>
              </w:rPr>
              <w:t>Item</w:t>
            </w:r>
          </w:p>
        </w:tc>
      </w:tr>
      <w:tr>
        <w:trPr>
          <w:cantSplit/>
        </w:trPr>
        <w:tc>
          <w:tcPr>
            <w:tcW w:type="dxa" w:w="1134"/>
          </w:tcPr>
          <w:p>
            <w:r>
              <w:rPr>
                <w:sz w:val="20"/>
              </w:rPr>
              <w:t>15</w:t>
            </w:r>
          </w:p>
        </w:tc>
        <w:tc>
          <w:tcPr>
            <w:tcW w:type="dxa" w:w="8277"/>
          </w:tcPr>
          <w:p>
            <w:r>
              <w:rPr>
                <w:sz w:val="20"/>
              </w:rPr>
              <w:t>Arrival, registration (in person and online) and welcome</w:t>
            </w:r>
          </w:p>
        </w:tc>
      </w:tr>
      <w:tr>
        <w:trPr>
          <w:cantSplit/>
        </w:trPr>
        <w:tc>
          <w:tcPr>
            <w:tcW w:type="dxa" w:w="1134"/>
          </w:tcPr>
          <w:p>
            <w:r>
              <w:rPr>
                <w:sz w:val="20"/>
              </w:rPr>
              <w:t>20</w:t>
            </w:r>
          </w:p>
        </w:tc>
        <w:tc>
          <w:tcPr>
            <w:tcW w:type="dxa" w:w="8277"/>
          </w:tcPr>
          <w:p>
            <w:r>
              <w:rPr>
                <w:sz w:val="20"/>
              </w:rPr>
              <w:t>Economic abuse: why it matters, and Directive (EU) 2024/1385</w:t>
            </w:r>
          </w:p>
        </w:tc>
      </w:tr>
      <w:tr>
        <w:trPr>
          <w:cantSplit/>
        </w:trPr>
        <w:tc>
          <w:tcPr>
            <w:tcW w:type="dxa" w:w="1134"/>
          </w:tcPr>
          <w:p>
            <w:r>
              <w:rPr>
                <w:sz w:val="20"/>
              </w:rPr>
              <w:t>20</w:t>
            </w:r>
          </w:p>
        </w:tc>
        <w:tc>
          <w:tcPr>
            <w:tcW w:type="dxa" w:w="8277"/>
          </w:tcPr>
          <w:p>
            <w:r>
              <w:rPr>
                <w:sz w:val="20"/>
              </w:rPr>
              <w:t>The FIRE project and its results: modules, Training Pills, guidelines, tools and network</w:t>
            </w:r>
          </w:p>
        </w:tc>
      </w:tr>
      <w:tr>
        <w:trPr>
          <w:cantSplit/>
        </w:trPr>
        <w:tc>
          <w:tcPr>
            <w:tcW w:type="dxa" w:w="1134"/>
          </w:tcPr>
          <w:p>
            <w:r>
              <w:rPr>
                <w:sz w:val="20"/>
              </w:rPr>
              <w:t>30</w:t>
            </w:r>
          </w:p>
        </w:tc>
        <w:tc>
          <w:tcPr>
            <w:tcW w:type="dxa" w:w="8277"/>
          </w:tcPr>
          <w:p>
            <w:r>
              <w:rPr>
                <w:sz w:val="20"/>
              </w:rPr>
              <w:t>Hands-on demonstration: one Training Pill and one interactive tool, with online participants joining in</w:t>
            </w:r>
          </w:p>
        </w:tc>
      </w:tr>
      <w:tr>
        <w:trPr>
          <w:cantSplit/>
        </w:trPr>
        <w:tc>
          <w:tcPr>
            <w:tcW w:type="dxa" w:w="1134"/>
          </w:tcPr>
          <w:p>
            <w:r>
              <w:rPr>
                <w:sz w:val="20"/>
              </w:rPr>
              <w:t>20</w:t>
            </w:r>
          </w:p>
        </w:tc>
        <w:tc>
          <w:tcPr>
            <w:tcW w:type="dxa" w:w="8277"/>
          </w:tcPr>
          <w:p>
            <w:r>
              <w:rPr>
                <w:sz w:val="20"/>
              </w:rPr>
              <w:t>Voices from the pilots: educators share what they learned (and women, if they wish and with consent)</w:t>
            </w:r>
          </w:p>
        </w:tc>
      </w:tr>
      <w:tr>
        <w:trPr>
          <w:cantSplit/>
        </w:trPr>
        <w:tc>
          <w:tcPr>
            <w:tcW w:type="dxa" w:w="1134"/>
          </w:tcPr>
          <w:p>
            <w:r>
              <w:rPr>
                <w:sz w:val="20"/>
              </w:rPr>
              <w:t>15</w:t>
            </w:r>
          </w:p>
        </w:tc>
        <w:tc>
          <w:tcPr>
            <w:tcW w:type="dxa" w:w="8277"/>
          </w:tcPr>
          <w:p>
            <w:r>
              <w:rPr>
                <w:sz w:val="20"/>
              </w:rPr>
              <w:t>Break and networking</w:t>
            </w:r>
          </w:p>
        </w:tc>
      </w:tr>
      <w:tr>
        <w:trPr>
          <w:cantSplit/>
        </w:trPr>
        <w:tc>
          <w:tcPr>
            <w:tcW w:type="dxa" w:w="1134"/>
          </w:tcPr>
          <w:p>
            <w:r>
              <w:rPr>
                <w:sz w:val="20"/>
              </w:rPr>
              <w:t>30</w:t>
            </w:r>
          </w:p>
        </w:tc>
        <w:tc>
          <w:tcPr>
            <w:tcW w:type="dxa" w:w="8277"/>
          </w:tcPr>
          <w:p>
            <w:r>
              <w:rPr>
                <w:sz w:val="20"/>
              </w:rPr>
              <w:t>Discussion: how can your organisation use FIRE? Small groups in the room and online breakout rooms</w:t>
            </w:r>
          </w:p>
        </w:tc>
      </w:tr>
      <w:tr>
        <w:trPr>
          <w:cantSplit/>
        </w:trPr>
        <w:tc>
          <w:tcPr>
            <w:tcW w:type="dxa" w:w="1134"/>
          </w:tcPr>
          <w:p>
            <w:r>
              <w:rPr>
                <w:sz w:val="20"/>
              </w:rPr>
              <w:t>10</w:t>
            </w:r>
          </w:p>
        </w:tc>
        <w:tc>
          <w:tcPr>
            <w:tcW w:type="dxa" w:w="8277"/>
          </w:tcPr>
          <w:p>
            <w:r>
              <w:rPr>
                <w:sz w:val="20"/>
              </w:rPr>
              <w:t>How to join the online support network and access the materials</w:t>
            </w:r>
          </w:p>
        </w:tc>
      </w:tr>
      <w:tr>
        <w:trPr>
          <w:cantSplit/>
        </w:trPr>
        <w:tc>
          <w:tcPr>
            <w:tcW w:type="dxa" w:w="1134"/>
          </w:tcPr>
          <w:p>
            <w:r>
              <w:rPr>
                <w:sz w:val="20"/>
              </w:rPr>
              <w:t>10</w:t>
            </w:r>
          </w:p>
        </w:tc>
        <w:tc>
          <w:tcPr>
            <w:tcW w:type="dxa" w:w="8277"/>
          </w:tcPr>
          <w:p>
            <w:r>
              <w:rPr>
                <w:sz w:val="20"/>
              </w:rPr>
              <w:t>Feedback form and closing</w:t>
            </w:r>
          </w:p>
        </w:tc>
      </w:tr>
    </w:tbl>
    <w:p>
      <w:pPr>
        <w:spacing w:after="40"/>
      </w:pPr>
    </w:p>
    <w:p>
      <w:pPr>
        <w:pStyle w:val="Heading2"/>
      </w:pPr>
      <w:r>
        <w:t>Invitation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r>
          </w:p>
          <w:p>
            <w:r>
              <w:t>You are invited to the FIRE multiplier event, '[title]', on [date] at [time], at [venue] and online. FIRE (Financial Resilience) is an Erasmus+ project on economic abuse against women. At this free event you see the FIRE training modules, Training Pills, guidelines for educators and interactive tools in action, hear from educators who used them in pilot sessions, and discuss how your organisation can use them in its work with women. The event is for adult educators, social workers, service providers, NGOs, education organisations and local authorities. Register by [date] at [link or email], saying whether you join in person or online.</w:t>
            </w:r>
          </w:p>
        </w:tc>
      </w:tr>
    </w:tbl>
    <w:p>
      <w:pPr>
        <w:spacing w:after="40"/>
      </w:pPr>
    </w:p>
    <w:p>
      <w:pPr>
        <w:pStyle w:val="Heading2"/>
      </w:pPr>
      <w:r>
        <w:t>Feedback form</w:t>
      </w:r>
    </w:p>
    <w:p>
      <w:pPr>
        <w:spacing w:after="40"/>
      </w:pPr>
      <w:r>
        <w:rPr>
          <w:b/>
          <w:i w:val="0"/>
        </w:rPr>
        <w:t>1. Which type of organisation do you represent?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2. Did you take part in person or online?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3. How useful was the event for your work? (1 to 5)</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4. Which FIRE result is most relevant to you?</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5. How likely is your organisation to use the FIRE materials? (1 to 5)</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6. How might you use them?</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7. Would you like to join the online support network or receive the newsletter?</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pPr>
        <w:spacing w:after="40"/>
      </w:pPr>
      <w:r>
        <w:rPr>
          <w:b/>
          <w:i w:val="0"/>
        </w:rPr>
        <w:t>8. Any other comments or suggestions?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tc>
      </w:tr>
    </w:tbl>
    <w:p>
      <w:pPr>
        <w:spacing w:after="40"/>
      </w:pPr>
    </w:p>
    <w:p>
      <w:r>
        <w:br w:type="page"/>
      </w:r>
    </w:p>
    <w:p>
      <w:pPr>
        <w:pStyle w:val="Heading1"/>
      </w:pPr>
      <w:r>
        <w:t>Event report</w:t>
      </w:r>
    </w:p>
    <w:p>
      <w:pPr>
        <w:pStyle w:val="Heading3"/>
      </w:pPr>
      <w:r>
        <w:t>Partner, title, date, venue and online platform</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Agenda as delivered</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Participants: number in person and online, types of organisation (attendance list attached)</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Summary of presentations and demonstrations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Main points from the discussion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Feedback form results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Organisations interested in using the results or joining the network</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Photos (with consent) and media coverage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3"/>
      </w:pPr>
      <w:r>
        <w:t>Lessons learned</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tc>
      </w:tr>
    </w:tbl>
    <w:p>
      <w:pPr>
        <w:spacing w:after="40"/>
      </w:pPr>
    </w:p>
    <w:p>
      <w:pPr>
        <w:pStyle w:val="Heading2"/>
      </w:pPr>
      <w:r>
        <w:t>Sign-in sheet</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2608"/>
        <w:gridCol w:w="2608"/>
        <w:gridCol w:w="1814"/>
      </w:tblGrid>
      <w:tr>
        <w:trPr>
          <w:cantSplit/>
          <w:tblHeader/>
        </w:trPr>
        <w:tc>
          <w:tcPr>
            <w:tcW w:type="dxa" w:w="2381"/>
            <w:shd w:val="clear" w:color="auto" w:fill="00309A"/>
          </w:tcPr>
          <w:p>
            <w:pPr>
              <w:spacing w:after="0"/>
            </w:pPr>
            <w:r>
              <w:rPr>
                <w:b/>
                <w:color w:val="FFFFFF"/>
                <w:sz w:val="20"/>
              </w:rPr>
              <w:t>Name</w:t>
            </w:r>
          </w:p>
        </w:tc>
        <w:tc>
          <w:tcPr>
            <w:tcW w:type="dxa" w:w="2608"/>
            <w:shd w:val="clear" w:color="auto" w:fill="00309A"/>
          </w:tcPr>
          <w:p>
            <w:pPr>
              <w:spacing w:after="0"/>
            </w:pPr>
            <w:r>
              <w:rPr>
                <w:b/>
                <w:color w:val="FFFFFF"/>
                <w:sz w:val="20"/>
              </w:rPr>
              <w:t>Organisation</w:t>
            </w:r>
          </w:p>
        </w:tc>
        <w:tc>
          <w:tcPr>
            <w:tcW w:type="dxa" w:w="2608"/>
            <w:shd w:val="clear" w:color="auto" w:fill="00309A"/>
          </w:tcPr>
          <w:p>
            <w:pPr>
              <w:spacing w:after="0"/>
            </w:pPr>
            <w:r>
              <w:rPr>
                <w:b/>
                <w:color w:val="FFFFFF"/>
                <w:sz w:val="20"/>
              </w:rPr>
              <w:t>Email</w:t>
            </w:r>
          </w:p>
        </w:tc>
        <w:tc>
          <w:tcPr>
            <w:tcW w:type="dxa" w:w="1814"/>
            <w:shd w:val="clear" w:color="auto" w:fill="00309A"/>
          </w:tcPr>
          <w:p>
            <w:pPr>
              <w:spacing w:after="0"/>
            </w:pPr>
            <w:r>
              <w:rPr>
                <w:b/>
                <w:color w:val="FFFFFF"/>
                <w:sz w:val="20"/>
              </w:rPr>
              <w:t>Signature</w:t>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r>
        <w:trPr>
          <w:cantSplit/>
        </w:trPr>
        <w:tc>
          <w:tcPr>
            <w:tcW w:type="dxa" w:w="2381"/>
          </w:tcPr>
          <w:p>
            <w:r>
              <w:rPr>
                <w:sz w:val="20"/>
              </w:rPr>
            </w:r>
          </w:p>
        </w:tc>
        <w:tc>
          <w:tcPr>
            <w:tcW w:type="dxa" w:w="2608"/>
          </w:tcPr>
          <w:p>
            <w:r>
              <w:rPr>
                <w:sz w:val="20"/>
              </w:rPr>
            </w:r>
          </w:p>
        </w:tc>
        <w:tc>
          <w:tcPr>
            <w:tcW w:type="dxa" w:w="2608"/>
          </w:tcPr>
          <w:p>
            <w:r>
              <w:rPr>
                <w:sz w:val="20"/>
              </w:rPr>
            </w:r>
          </w:p>
        </w:tc>
        <w:tc>
          <w:tcPr>
            <w:tcW w:type="dxa" w:w="1814"/>
          </w:tcPr>
          <w:p>
            <w:r>
              <w:rPr>
                <w:sz w:val="20"/>
              </w:rPr>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Multiplier event kit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71429" cy="288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371429" cy="288000"/>
                        </a:xfrm>
                        <a:prstGeom prst="rect"/>
                      </pic:spPr>
                    </pic:pic>
                  </a:graphicData>
                </a:graphic>
              </wp:inline>
            </w:drawing>
          </w:r>
        </w:p>
      </w:tc>
      <w:tc>
        <w:tcPr>
          <w:tcW w:type="dxa" w:w="6974"/>
        </w:tcPr>
        <w:p>
          <w:pPr>
            <w:spacing w:after="0"/>
          </w:pPr>
          <w:r>
            <w:rPr>
              <w:color w:val="4A5568"/>
              <w:sz w:val="13"/>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2F5BE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